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20" w:lineRule="exact"/>
        <w:jc w:val="center"/>
        <w:rPr>
          <w:rFonts w:ascii="黑体" w:hAnsi="Times New Roman" w:eastAsia="黑体" w:cs="Times New Roman"/>
          <w:kern w:val="0"/>
          <w:sz w:val="40"/>
          <w:szCs w:val="24"/>
        </w:rPr>
      </w:pPr>
      <w:r>
        <w:rPr>
          <w:rFonts w:hint="eastAsia" w:ascii="黑体" w:hAnsi="Times New Roman" w:eastAsia="黑体" w:cs="Times New Roman"/>
          <w:kern w:val="0"/>
          <w:sz w:val="40"/>
          <w:szCs w:val="24"/>
        </w:rPr>
        <w:t>梅州市嘉应粮食交易中心有限公司</w:t>
      </w:r>
    </w:p>
    <w:p>
      <w:pPr>
        <w:autoSpaceDE w:val="0"/>
        <w:autoSpaceDN w:val="0"/>
        <w:adjustRightInd w:val="0"/>
        <w:spacing w:line="520" w:lineRule="exact"/>
        <w:jc w:val="center"/>
        <w:rPr>
          <w:rFonts w:ascii="黑体" w:hAnsi="Times New Roman" w:eastAsia="黑体" w:cs="Times New Roman"/>
          <w:kern w:val="0"/>
          <w:sz w:val="40"/>
          <w:szCs w:val="24"/>
        </w:rPr>
      </w:pPr>
      <w:r>
        <w:rPr>
          <w:rFonts w:hint="eastAsia" w:ascii="黑体" w:hAnsi="Times New Roman" w:eastAsia="黑体" w:cs="Times New Roman"/>
          <w:kern w:val="0"/>
          <w:sz w:val="40"/>
          <w:szCs w:val="24"/>
        </w:rPr>
        <w:t>竞价销售交易合同</w:t>
      </w:r>
    </w:p>
    <w:p>
      <w:pPr>
        <w:autoSpaceDE w:val="0"/>
        <w:autoSpaceDN w:val="0"/>
        <w:adjustRightInd w:val="0"/>
        <w:spacing w:line="520" w:lineRule="exact"/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合同编号：</w:t>
      </w:r>
    </w:p>
    <w:p>
      <w:pPr>
        <w:autoSpaceDE w:val="0"/>
        <w:autoSpaceDN w:val="0"/>
        <w:adjustRightInd w:val="0"/>
        <w:spacing w:line="520" w:lineRule="exact"/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买方全称：</w:t>
      </w:r>
    </w:p>
    <w:p>
      <w:pPr>
        <w:autoSpaceDE w:val="0"/>
        <w:autoSpaceDN w:val="0"/>
        <w:adjustRightInd w:val="0"/>
        <w:spacing w:line="520" w:lineRule="exact"/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卖方全称：蕉岭县金穗粮食收储有限公司</w:t>
      </w:r>
    </w:p>
    <w:p>
      <w:pPr>
        <w:autoSpaceDE w:val="0"/>
        <w:autoSpaceDN w:val="0"/>
        <w:adjustRightInd w:val="0"/>
        <w:spacing w:line="520" w:lineRule="exact"/>
        <w:rPr>
          <w:rFonts w:hint="eastAsia" w:ascii="宋体" w:hAnsi="宋体" w:eastAsia="宋体" w:cs="Times New Roman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520" w:lineRule="exact"/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一、成交标的（见下表）                     单位：元、吨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7"/>
        <w:gridCol w:w="2616"/>
        <w:gridCol w:w="817"/>
        <w:gridCol w:w="3130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0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  <w:szCs w:val="22"/>
              </w:rPr>
              <w:t>标的号</w:t>
            </w:r>
          </w:p>
        </w:tc>
        <w:tc>
          <w:tcPr>
            <w:tcW w:w="2616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314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50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  <w:szCs w:val="22"/>
              </w:rPr>
              <w:t>品种</w:t>
            </w:r>
          </w:p>
        </w:tc>
        <w:tc>
          <w:tcPr>
            <w:tcW w:w="2616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早籼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稻</w:t>
            </w:r>
          </w:p>
        </w:tc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等级</w:t>
            </w:r>
          </w:p>
        </w:tc>
        <w:tc>
          <w:tcPr>
            <w:tcW w:w="314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50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  <w:szCs w:val="22"/>
              </w:rPr>
              <w:t>入库年度</w:t>
            </w:r>
          </w:p>
        </w:tc>
        <w:tc>
          <w:tcPr>
            <w:tcW w:w="2616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单价</w:t>
            </w:r>
          </w:p>
        </w:tc>
        <w:tc>
          <w:tcPr>
            <w:tcW w:w="314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44" w:hRule="atLeast"/>
          <w:jc w:val="center"/>
        </w:trPr>
        <w:tc>
          <w:tcPr>
            <w:tcW w:w="1498" w:type="dxa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产地</w:t>
            </w:r>
          </w:p>
        </w:tc>
        <w:tc>
          <w:tcPr>
            <w:tcW w:w="2623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江西</w:t>
            </w:r>
          </w:p>
        </w:tc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包装</w:t>
            </w:r>
          </w:p>
        </w:tc>
        <w:tc>
          <w:tcPr>
            <w:tcW w:w="3130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散装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80" w:hRule="atLeast"/>
          <w:jc w:val="center"/>
        </w:trPr>
        <w:tc>
          <w:tcPr>
            <w:tcW w:w="1498" w:type="dxa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总金额</w:t>
            </w:r>
          </w:p>
        </w:tc>
        <w:tc>
          <w:tcPr>
            <w:tcW w:w="6570" w:type="dxa"/>
            <w:gridSpan w:val="4"/>
          </w:tcPr>
          <w:p>
            <w:pPr>
              <w:autoSpaceDE w:val="0"/>
              <w:autoSpaceDN w:val="0"/>
              <w:adjustRightInd w:val="0"/>
              <w:spacing w:line="520" w:lineRule="exact"/>
              <w:ind w:firstLine="960" w:firstLineChars="4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存放地点</w:t>
            </w:r>
          </w:p>
        </w:tc>
        <w:tc>
          <w:tcPr>
            <w:tcW w:w="6570" w:type="dxa"/>
            <w:gridSpan w:val="4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04" w:hRule="atLeast"/>
          <w:jc w:val="center"/>
        </w:trPr>
        <w:tc>
          <w:tcPr>
            <w:tcW w:w="1498" w:type="dxa"/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交货方式</w:t>
            </w:r>
          </w:p>
        </w:tc>
        <w:tc>
          <w:tcPr>
            <w:tcW w:w="6570" w:type="dxa"/>
            <w:gridSpan w:val="4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color w:val="242424"/>
                <w:kern w:val="0"/>
                <w:sz w:val="24"/>
                <w:szCs w:val="24"/>
                <w:shd w:val="clear" w:color="auto" w:fill="FFFFFF"/>
              </w:rPr>
              <w:t>仓库车板交货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交货期限</w:t>
            </w:r>
          </w:p>
        </w:tc>
        <w:tc>
          <w:tcPr>
            <w:tcW w:w="6570" w:type="dxa"/>
            <w:gridSpan w:val="4"/>
          </w:tcPr>
          <w:p>
            <w:pPr>
              <w:autoSpaceDE w:val="0"/>
              <w:autoSpaceDN w:val="0"/>
              <w:adjustRightInd w:val="0"/>
              <w:spacing w:line="52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日-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二、质量标准：本批稻谷卖方提供样品在交易现场展示以供参考，交易标的质量、产地以仓库查看大样为准，买方已在竞价交易前查验过质量、品质、食品安全指标，本合同的签订视为买方对上述指标已认可，不得对上述各项指标、产地提出异议。同时签订《稻谷销售出库质量安全约定责任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三、结算方式及期限：</w:t>
      </w:r>
      <w:r>
        <w:rPr>
          <w:rFonts w:hint="eastAsia" w:asciiTheme="minorEastAsia" w:hAnsiTheme="minorEastAsia"/>
          <w:color w:val="000000" w:themeColor="text1"/>
          <w:kern w:val="0"/>
          <w:sz w:val="24"/>
          <w:szCs w:val="24"/>
        </w:rPr>
        <w:t>买方先支付稻谷货款后再办理提货，出库时需向卖方提供车辆信息证明材料或微信、短信等文字信息。买方在交货期限内付清标的数量3060.28</w:t>
      </w:r>
      <w:bookmarkStart w:id="0" w:name="_GoBack"/>
      <w:bookmarkEnd w:id="0"/>
      <w:r>
        <w:rPr>
          <w:rFonts w:hint="eastAsia" w:asciiTheme="minorEastAsia" w:hAnsiTheme="minorEastAsia"/>
          <w:color w:val="000000" w:themeColor="text1"/>
          <w:kern w:val="0"/>
          <w:sz w:val="24"/>
          <w:szCs w:val="24"/>
        </w:rPr>
        <w:t>吨货款，货款资金以转账卖方指定的银行账号为准。</w:t>
      </w:r>
      <w:r>
        <w:rPr>
          <w:rFonts w:hint="eastAsia" w:cs="Times New Roman" w:asciiTheme="minorEastAsia" w:hAnsiTheme="minorEastAsia"/>
          <w:kern w:val="0"/>
          <w:sz w:val="24"/>
          <w:szCs w:val="24"/>
        </w:rPr>
        <w:t>粮库清堆出仓完毕，卖方按实际出库数量结算货款，乙方超付或少付款项，凭出库磅码单按合同价到卖方单位办理结算。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买方必须在中标之日起三日内与卖方签订竞价销售交易合同，</w:t>
      </w:r>
      <w:r>
        <w:rPr>
          <w:rFonts w:hint="eastAsia" w:asciiTheme="minorEastAsia" w:hAnsiTheme="minorEastAsia"/>
          <w:color w:val="000000" w:themeColor="text1"/>
          <w:kern w:val="0"/>
          <w:sz w:val="24"/>
          <w:szCs w:val="24"/>
        </w:rPr>
        <w:t>交货期限内</w:t>
      </w: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将粮食全部提货完毕。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四、结算凭证：卖方提供本单位开出的发票凭证。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五、验收方式：数量以经技术监督部门检验合格的计量工具验斤为准，包装物不计价、不回收，皮作货。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六、费用承担：</w:t>
      </w: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</w:rPr>
        <w:t>仓库车板交货，</w:t>
      </w: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买方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负责联系</w:t>
      </w:r>
      <w:r>
        <w:rPr>
          <w:rFonts w:hint="eastAsia" w:asciiTheme="minorEastAsia" w:hAnsiTheme="minorEastAsia"/>
          <w:color w:val="000000" w:themeColor="text1"/>
          <w:kern w:val="0"/>
          <w:sz w:val="24"/>
          <w:szCs w:val="24"/>
        </w:rPr>
        <w:t>第三方劳务服务公司并签订作业安全管理协议, 买方在提货过程中要负责做好装运的安全生产工作，若发生安全事故，由买方承担全部责任。</w:t>
      </w: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卖方承担交货前产生的一切费用，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由卖方与该</w:t>
      </w:r>
      <w:r>
        <w:rPr>
          <w:rFonts w:hint="eastAsia" w:asciiTheme="minorEastAsia" w:hAnsiTheme="minorEastAsia"/>
          <w:color w:val="000000" w:themeColor="text1"/>
          <w:kern w:val="0"/>
          <w:sz w:val="24"/>
          <w:szCs w:val="24"/>
        </w:rPr>
        <w:t>第三方劳务服务公司商议并签订费用协议。交货后产生的费用由买方承担。卖方向买方收取20元/吨的出仓服务费（含设备使用费、水电费、过磅费等）。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t>　　</w:t>
      </w: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七、违约责任：</w:t>
      </w:r>
      <w:r>
        <w:rPr>
          <w:rFonts w:hint="eastAsia" w:cs="Times New Roman" w:asciiTheme="minorEastAsia" w:hAnsiTheme="minorEastAsia"/>
          <w:color w:val="000000" w:themeColor="text1"/>
          <w:sz w:val="24"/>
          <w:szCs w:val="24"/>
          <w:shd w:val="clear" w:color="auto" w:fill="FFFFFF"/>
        </w:rPr>
        <w:t>买卖双方须遵守当次《交易公告》。如有任一方违约，</w:t>
      </w: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违约方违约部分保证金划归对方，并承担对方违约部分交易手续费，交易中心不承担经济责任。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八、争议解决：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kern w:val="0"/>
          <w:sz w:val="24"/>
          <w:szCs w:val="24"/>
        </w:rPr>
        <w:t>1、出现不明确责任情况，买卖双方协商、交易中心协调解决。协商不成由卖方辖区人民法院按法律程序解决。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>2、因政府相关部门的有关规定，造成卖方不能履约的，由交易中心监督退回买方已付货款</w:t>
      </w:r>
      <w:r>
        <w:rPr>
          <w:rFonts w:hint="eastAsia" w:asciiTheme="minorEastAsia" w:hAnsiTheme="minorEastAsia"/>
          <w:sz w:val="24"/>
          <w:szCs w:val="24"/>
        </w:rPr>
        <w:t>，卖方不承担违约责任。</w:t>
      </w:r>
      <w:r>
        <w:rPr>
          <w:rStyle w:val="7"/>
          <w:rFonts w:hint="eastAsia" w:asciiTheme="minorEastAsia" w:hAnsiTheme="minorEastAsia"/>
          <w:color w:val="242424"/>
          <w:sz w:val="24"/>
          <w:szCs w:val="24"/>
          <w:shd w:val="clear" w:color="auto" w:fill="FFFFFF"/>
        </w:rPr>
        <w:t>由于不可抗力原因导致买方逾期提货，买方应在发生之日起５天内向卖方提交书面报告，说明受阻、受影响情况，经卖方核实同意后，买卖双方签订补充协议，相应顺延合同履行期限。除不可抗力原因外，买方因特殊原因未能按合同约定提货的，买方必须提前经过卖方同意并签订补充协议</w:t>
      </w:r>
      <w:r>
        <w:rPr>
          <w:rFonts w:hint="eastAsia" w:asciiTheme="minorEastAsia" w:hAnsiTheme="minorEastAsia"/>
          <w:kern w:val="0"/>
          <w:sz w:val="24"/>
          <w:szCs w:val="24"/>
        </w:rPr>
        <w:t>，否则视</w:t>
      </w:r>
      <w:r>
        <w:rPr>
          <w:rStyle w:val="7"/>
          <w:rFonts w:hint="eastAsia" w:asciiTheme="minorEastAsia" w:hAnsiTheme="minorEastAsia"/>
          <w:color w:val="242424"/>
          <w:sz w:val="24"/>
          <w:szCs w:val="24"/>
          <w:shd w:val="clear" w:color="auto" w:fill="FFFFFF"/>
        </w:rPr>
        <w:t>买方</w:t>
      </w:r>
      <w:r>
        <w:rPr>
          <w:rFonts w:hint="eastAsia" w:asciiTheme="minorEastAsia" w:hAnsiTheme="minorEastAsia"/>
          <w:sz w:val="24"/>
          <w:szCs w:val="24"/>
        </w:rPr>
        <w:t>违约，承担违约责任</w:t>
      </w:r>
      <w:r>
        <w:rPr>
          <w:rFonts w:hint="eastAsia" w:asciiTheme="minorEastAsia" w:hAnsiTheme="minorEastAsia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240" w:firstLineChars="1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>　</w:t>
      </w: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九、本合同自签订之日起生效。本合同履行完毕，双方结清费用时自然终止。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十、免责条款：不可抗力（暴雨、台风、地震、疫情或社会异常现象等）导致合同部分或全部无法履行或履行延迟，受不可抗力影响的一方不承担违约责任，但应当及时通知对方并提供相关证明材料，以减轻可能给对方造成的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十一、买方人员、车辆、货运司机及随车人员必须配合卖方工作相关要求，服从卖方仓库的管理。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十二、合同签订地点：梅州市。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十三、本合同一式三份，买卖双方、确认单位各执一份。</w:t>
      </w:r>
    </w:p>
    <w:p>
      <w:pPr>
        <w:autoSpaceDE w:val="0"/>
        <w:autoSpaceDN w:val="0"/>
        <w:adjustRightInd w:val="0"/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买方单位（盖章）：                卖方单位（盖章）：</w:t>
      </w:r>
    </w:p>
    <w:p>
      <w:pPr>
        <w:autoSpaceDE w:val="0"/>
        <w:autoSpaceDN w:val="0"/>
        <w:adjustRightInd w:val="0"/>
        <w:spacing w:line="500" w:lineRule="exact"/>
        <w:ind w:firstLine="480" w:firstLineChars="200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法人或代理人（签字）：            法人或代理人（签字）：</w:t>
      </w: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卖方收货款账户</w:t>
      </w: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收款单位：蕉岭县金穗粮食收储有限公司</w:t>
      </w: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开户行：中国农业发展银行梅州市分行</w:t>
      </w: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帐号：20344149900100000002531</w:t>
      </w:r>
    </w:p>
    <w:p>
      <w:pPr>
        <w:autoSpaceDE w:val="0"/>
        <w:autoSpaceDN w:val="0"/>
        <w:adjustRightInd w:val="0"/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电话：0753-7186968</w:t>
      </w:r>
    </w:p>
    <w:p>
      <w:pPr>
        <w:autoSpaceDE w:val="0"/>
        <w:autoSpaceDN w:val="0"/>
        <w:adjustRightInd w:val="0"/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传真：0753-7186863</w:t>
      </w: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sz w:val="24"/>
          <w:szCs w:val="24"/>
        </w:rPr>
        <w:t>确认单位：梅州市嘉应粮食交易中心有限公司</w:t>
      </w: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电话（传真）</w:t>
      </w:r>
      <w:r>
        <w:rPr>
          <w:rFonts w:hint="eastAsia" w:cs="Times New Roman" w:asciiTheme="minorEastAsia" w:hAnsiTheme="minorEastAsia"/>
          <w:color w:val="000000" w:themeColor="text1"/>
          <w:sz w:val="24"/>
          <w:szCs w:val="24"/>
        </w:rPr>
        <w:t xml:space="preserve">：0753-2128232    0753-2128231     </w:t>
      </w:r>
    </w:p>
    <w:p>
      <w:pPr>
        <w:spacing w:line="500" w:lineRule="exact"/>
        <w:jc w:val="right"/>
        <w:rPr>
          <w:rFonts w:cs="Times New Roman" w:asciiTheme="minorEastAsia" w:hAnsiTheme="minorEastAsia"/>
          <w:color w:val="000000" w:themeColor="text1"/>
          <w:sz w:val="24"/>
          <w:szCs w:val="24"/>
        </w:rPr>
      </w:pPr>
    </w:p>
    <w:p>
      <w:pPr>
        <w:spacing w:line="500" w:lineRule="exact"/>
        <w:jc w:val="right"/>
        <w:rPr>
          <w:rFonts w:cs="Times New Roman" w:asciiTheme="minorEastAsia" w:hAnsiTheme="minorEastAsia"/>
          <w:sz w:val="24"/>
          <w:szCs w:val="24"/>
        </w:rPr>
      </w:pPr>
      <w:r>
        <w:rPr>
          <w:rFonts w:hint="eastAsia" w:cs="Times New Roman" w:asciiTheme="minorEastAsia" w:hAnsiTheme="minorEastAsia"/>
          <w:sz w:val="24"/>
          <w:szCs w:val="24"/>
        </w:rPr>
        <w:t>202４年XX月XX日</w:t>
      </w:r>
    </w:p>
    <w:p>
      <w:pPr>
        <w:spacing w:line="500" w:lineRule="exact"/>
        <w:rPr>
          <w:rFonts w:asciiTheme="minorEastAsia" w:hAnsiTheme="minorEastAsia"/>
          <w:sz w:val="24"/>
          <w:szCs w:val="24"/>
        </w:rPr>
      </w:pPr>
    </w:p>
    <w:p>
      <w:pPr>
        <w:spacing w:line="500" w:lineRule="exact"/>
        <w:rPr>
          <w:rFonts w:asciiTheme="minorEastAsia" w:hAnsiTheme="minorEastAsia"/>
          <w:sz w:val="24"/>
          <w:szCs w:val="24"/>
        </w:rPr>
      </w:pPr>
    </w:p>
    <w:p>
      <w:pPr>
        <w:spacing w:line="500" w:lineRule="exact"/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</w:p>
    <w:sectPr>
      <w:footerReference r:id="rId3" w:type="default"/>
      <w:pgSz w:w="11907" w:h="16840"/>
      <w:pgMar w:top="1440" w:right="1467" w:bottom="1440" w:left="16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QzNWNjZmMwOGZkY2FmNjMzMDM1ZTk0ODJlZGM0NzIifQ=="/>
  </w:docVars>
  <w:rsids>
    <w:rsidRoot w:val="00D11EB1"/>
    <w:rsid w:val="000E0CCC"/>
    <w:rsid w:val="0012029E"/>
    <w:rsid w:val="00343EF5"/>
    <w:rsid w:val="0039256E"/>
    <w:rsid w:val="00425ACD"/>
    <w:rsid w:val="00451460"/>
    <w:rsid w:val="0052252A"/>
    <w:rsid w:val="005264B7"/>
    <w:rsid w:val="005B7CAD"/>
    <w:rsid w:val="0062786A"/>
    <w:rsid w:val="00695C9E"/>
    <w:rsid w:val="00970A03"/>
    <w:rsid w:val="00A21893"/>
    <w:rsid w:val="00A30E6A"/>
    <w:rsid w:val="00AC10BB"/>
    <w:rsid w:val="00AE13A3"/>
    <w:rsid w:val="00AE5818"/>
    <w:rsid w:val="00B95398"/>
    <w:rsid w:val="00C23F20"/>
    <w:rsid w:val="00CA79EF"/>
    <w:rsid w:val="00CB3912"/>
    <w:rsid w:val="00D11EB1"/>
    <w:rsid w:val="00D50A72"/>
    <w:rsid w:val="00E708DB"/>
    <w:rsid w:val="00E743F7"/>
    <w:rsid w:val="00F53BF8"/>
    <w:rsid w:val="00F90AD8"/>
    <w:rsid w:val="00FA050A"/>
    <w:rsid w:val="1F2533E2"/>
    <w:rsid w:val="340A0022"/>
    <w:rsid w:val="3B3F5AD4"/>
    <w:rsid w:val="43B52F65"/>
    <w:rsid w:val="6BA8211D"/>
    <w:rsid w:val="7FA22C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ng-binding"/>
    <w:basedOn w:val="5"/>
    <w:qFormat/>
    <w:uiPriority w:val="0"/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5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1358</Words>
  <Characters>1439</Characters>
  <Lines>11</Lines>
  <Paragraphs>3</Paragraphs>
  <TotalTime>481</TotalTime>
  <ScaleCrop>false</ScaleCrop>
  <LinksUpToDate>false</LinksUpToDate>
  <CharactersWithSpaces>1514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2024-05-09T13:39:00Z</dcterms:created>
  <dc:creator>Lenovo</dc:creator>
  <cp:lastModifiedBy>汇兴</cp:lastModifiedBy>
  <cp:lastPrinted>2024-06-06T09:33:00Z</cp:lastPrinted>
  <dcterms:modified xsi:type="dcterms:W3CDTF">2024-06-18T08:42:01Z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5BEA5283D1334DCFB70508F33E1C2A70_12</vt:lpwstr>
  </property>
</Properties>
</file>