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4"/>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kern w:val="0"/>
          <w:sz w:val="28"/>
          <w:szCs w:val="28"/>
          <w:lang w:eastAsia="zh-CN"/>
        </w:rPr>
        <w:t>兴宁市齐昌粮油储备管理</w:t>
      </w:r>
      <w:r>
        <w:rPr>
          <w:rFonts w:hint="eastAsia" w:ascii="宋体" w:hAnsi="宋体"/>
          <w:kern w:val="0"/>
          <w:sz w:val="28"/>
          <w:szCs w:val="28"/>
        </w:rPr>
        <w:t>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noWrap w:val="0"/>
            <w:vAlign w:val="top"/>
          </w:tcPr>
          <w:p>
            <w:pPr>
              <w:pStyle w:val="2"/>
              <w:spacing w:line="460" w:lineRule="exact"/>
              <w:ind w:firstLine="0" w:firstLineChars="0"/>
              <w:rPr>
                <w:rFonts w:ascii="宋体" w:hAnsi="宋体" w:eastAsia="宋体"/>
                <w:sz w:val="24"/>
              </w:rPr>
            </w:pPr>
          </w:p>
        </w:tc>
        <w:tc>
          <w:tcPr>
            <w:tcW w:w="817" w:type="dxa"/>
            <w:noWrap w:val="0"/>
            <w:vAlign w:val="top"/>
          </w:tcPr>
          <w:p>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noWrap w:val="0"/>
            <w:vAlign w:val="top"/>
          </w:tcPr>
          <w:p>
            <w:pPr>
              <w:pStyle w:val="2"/>
              <w:spacing w:line="460" w:lineRule="exact"/>
              <w:ind w:firstLine="480" w:firstLineChars="200"/>
              <w:rPr>
                <w:rFonts w:ascii="宋体" w:hAnsi="宋体" w:eastAsia="宋体"/>
                <w:sz w:val="24"/>
              </w:rPr>
            </w:pP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noWrap w:val="0"/>
            <w:vAlign w:val="top"/>
          </w:tcPr>
          <w:p>
            <w:pPr>
              <w:pStyle w:val="2"/>
              <w:spacing w:line="460" w:lineRule="exact"/>
              <w:ind w:firstLine="0" w:firstLineChars="0"/>
              <w:rPr>
                <w:rFonts w:ascii="宋体" w:hAnsi="宋体" w:eastAsia="宋体"/>
                <w:sz w:val="24"/>
              </w:rPr>
            </w:pPr>
            <w:r>
              <w:rPr>
                <w:rFonts w:hint="eastAsia" w:ascii="宋体" w:hAnsi="宋体" w:eastAsia="宋体"/>
                <w:sz w:val="24"/>
              </w:rPr>
              <w:t>早籼谷</w:t>
            </w:r>
          </w:p>
        </w:tc>
        <w:tc>
          <w:tcPr>
            <w:tcW w:w="817" w:type="dxa"/>
            <w:noWrap w:val="0"/>
            <w:vAlign w:val="top"/>
          </w:tcPr>
          <w:p>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noWrap w:val="0"/>
            <w:vAlign w:val="top"/>
          </w:tcPr>
          <w:p>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noWrap w:val="0"/>
            <w:vAlign w:val="top"/>
          </w:tcPr>
          <w:p>
            <w:pPr>
              <w:pStyle w:val="2"/>
              <w:spacing w:line="460" w:lineRule="exact"/>
              <w:ind w:firstLine="0" w:firstLineChars="0"/>
              <w:rPr>
                <w:rFonts w:hint="default" w:ascii="宋体" w:hAnsi="宋体" w:eastAsia="宋体"/>
                <w:sz w:val="24"/>
                <w:lang w:val="en-US" w:eastAsia="zh-CN"/>
              </w:rPr>
            </w:pPr>
          </w:p>
        </w:tc>
        <w:tc>
          <w:tcPr>
            <w:tcW w:w="817" w:type="dxa"/>
            <w:noWrap w:val="0"/>
            <w:vAlign w:val="top"/>
          </w:tcPr>
          <w:p>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noWrap w:val="0"/>
            <w:vAlign w:val="top"/>
          </w:tcPr>
          <w:p>
            <w:pPr>
              <w:pStyle w:val="2"/>
              <w:spacing w:line="460" w:lineRule="exact"/>
              <w:ind w:firstLine="480" w:firstLineChars="200"/>
              <w:rPr>
                <w:rFonts w:ascii="宋体" w:hAnsi="宋体" w:eastAsia="宋体"/>
                <w:sz w:val="24"/>
              </w:rPr>
            </w:pPr>
            <w:r>
              <w:rPr>
                <w:rFonts w:hint="eastAsia" w:ascii="宋体" w:hAnsi="宋体" w:eastAsia="宋体"/>
                <w:sz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noWrap w:val="0"/>
            <w:vAlign w:val="top"/>
          </w:tcPr>
          <w:p>
            <w:pPr>
              <w:pStyle w:val="2"/>
              <w:spacing w:line="460" w:lineRule="exact"/>
              <w:ind w:firstLine="0" w:firstLineChars="0"/>
              <w:rPr>
                <w:rFonts w:ascii="宋体" w:hAnsi="宋体" w:eastAsia="宋体"/>
                <w:sz w:val="24"/>
              </w:rPr>
            </w:pPr>
          </w:p>
        </w:tc>
        <w:tc>
          <w:tcPr>
            <w:tcW w:w="817" w:type="dxa"/>
            <w:noWrap w:val="0"/>
            <w:vAlign w:val="top"/>
          </w:tcPr>
          <w:p>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noWrap w:val="0"/>
            <w:vAlign w:val="top"/>
          </w:tcPr>
          <w:p>
            <w:pPr>
              <w:pStyle w:val="2"/>
              <w:spacing w:line="460" w:lineRule="exact"/>
              <w:ind w:firstLine="0" w:firstLineChars="0"/>
              <w:rPr>
                <w:rFonts w:ascii="宋体" w:hAnsi="宋体" w:eastAsia="宋体"/>
                <w:sz w:val="24"/>
              </w:rPr>
            </w:pPr>
            <w:r>
              <w:rPr>
                <w:rFonts w:hint="eastAsia" w:ascii="宋体" w:hAnsi="宋体" w:eastAsia="宋体"/>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noWrap w:val="0"/>
            <w:vAlign w:val="top"/>
          </w:tcPr>
          <w:p>
            <w:pPr>
              <w:pStyle w:val="2"/>
              <w:spacing w:line="460" w:lineRule="exact"/>
              <w:ind w:firstLine="720" w:firstLineChars="300"/>
              <w:rPr>
                <w:rFonts w:ascii="宋体" w:hAnsi="宋体" w:eastAsia="宋体"/>
                <w:sz w:val="24"/>
              </w:rPr>
            </w:pP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noWrap w:val="0"/>
            <w:vAlign w:val="center"/>
          </w:tcPr>
          <w:p>
            <w:pPr>
              <w:jc w:val="left"/>
              <w:rPr>
                <w:rFonts w:hint="eastAsia" w:ascii="微软雅黑" w:hAnsi="微软雅黑" w:eastAsia="微软雅黑" w:cs="宋体"/>
                <w:color w:val="242424"/>
                <w:szCs w:val="21"/>
                <w:lang w:eastAsia="zh-CN"/>
              </w:rPr>
            </w:pPr>
            <w:r>
              <w:rPr>
                <w:rFonts w:hint="eastAsia" w:ascii="宋体" w:hAnsi="宋体"/>
                <w:kern w:val="0"/>
                <w:sz w:val="24"/>
                <w:lang w:eastAsia="zh-CN"/>
              </w:rPr>
              <w:t>兴宁市粮食中心储备库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lang w:eastAsia="zh-CN"/>
              </w:rPr>
              <w:t>仓库堆边交货，由买方自行组织搬运、运输车辆和包装等，出库过程中的所有费用由买方负责。</w:t>
            </w:r>
            <w:r>
              <w:rPr>
                <w:rFonts w:hint="eastAsia" w:ascii="宋体" w:hAnsi="宋体"/>
                <w:kern w:val="0"/>
                <w:sz w:val="24"/>
              </w:rPr>
              <w:t>按</w:t>
            </w:r>
            <w:r>
              <w:rPr>
                <w:rFonts w:hint="eastAsia" w:ascii="宋体" w:hAnsi="宋体"/>
                <w:kern w:val="0"/>
                <w:sz w:val="24"/>
                <w:lang w:eastAsia="zh-CN"/>
              </w:rPr>
              <w:t>粮</w:t>
            </w:r>
            <w:r>
              <w:rPr>
                <w:rFonts w:hint="eastAsia" w:ascii="宋体" w:hAnsi="宋体"/>
                <w:kern w:val="0"/>
                <w:sz w:val="24"/>
              </w:rPr>
              <w:t>库工作时间出</w:t>
            </w:r>
            <w:r>
              <w:rPr>
                <w:rFonts w:hint="eastAsia" w:ascii="宋体" w:hAnsi="宋体"/>
                <w:kern w:val="0"/>
                <w:sz w:val="24"/>
                <w:lang w:eastAsia="zh-CN"/>
              </w:rPr>
              <w:t>库</w:t>
            </w:r>
            <w:r>
              <w:rPr>
                <w:rFonts w:hint="eastAsia" w:ascii="宋体" w:hAnsi="宋体"/>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pPr>
              <w:pStyle w:val="2"/>
              <w:spacing w:line="460" w:lineRule="exact"/>
              <w:ind w:firstLine="0" w:firstLineChars="0"/>
              <w:rPr>
                <w:rFonts w:hint="default" w:ascii="宋体" w:hAnsi="宋体" w:eastAsia="宋体"/>
                <w:sz w:val="24"/>
                <w:lang w:val="en-US" w:eastAsia="zh-CN"/>
              </w:rPr>
            </w:pP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w:t>
      </w:r>
      <w:r>
        <w:rPr>
          <w:rFonts w:hint="eastAsia" w:ascii="宋体" w:hAnsi="宋体"/>
          <w:kern w:val="0"/>
          <w:sz w:val="24"/>
          <w:lang w:eastAsia="zh-CN"/>
        </w:rPr>
        <w:t>本合同签订之日起</w:t>
      </w:r>
      <w:r>
        <w:rPr>
          <w:rFonts w:hint="eastAsia" w:ascii="宋体" w:hAnsi="宋体"/>
          <w:kern w:val="0"/>
          <w:sz w:val="24"/>
          <w:lang w:val="en-US" w:eastAsia="zh-CN"/>
        </w:rPr>
        <w:t>30天内须预付货款总额的30%，80天内</w:t>
      </w:r>
      <w:r>
        <w:rPr>
          <w:rFonts w:hint="eastAsia" w:ascii="宋体" w:hAnsi="宋体"/>
          <w:kern w:val="0"/>
          <w:sz w:val="24"/>
        </w:rPr>
        <w:t>付清全部货款。货款资金以转账卖方指定的银行账号为准。</w:t>
      </w:r>
    </w:p>
    <w:p>
      <w:pPr>
        <w:autoSpaceDE w:val="0"/>
        <w:autoSpaceDN w:val="0"/>
        <w:adjustRightInd w:val="0"/>
        <w:spacing w:line="400" w:lineRule="exact"/>
        <w:ind w:firstLine="480" w:firstLineChars="200"/>
        <w:rPr>
          <w:rFonts w:hint="default" w:ascii="宋体" w:hAnsi="宋体" w:eastAsia="宋体"/>
          <w:kern w:val="0"/>
          <w:sz w:val="24"/>
          <w:lang w:val="en-US" w:eastAsia="zh-CN"/>
        </w:rPr>
      </w:pPr>
      <w:r>
        <w:rPr>
          <w:rFonts w:hint="eastAsia" w:ascii="宋体" w:hAnsi="宋体"/>
          <w:kern w:val="0"/>
          <w:sz w:val="24"/>
        </w:rPr>
        <w:t>买方必须在中标之日起三日内与卖方签订合同</w:t>
      </w:r>
      <w:r>
        <w:rPr>
          <w:rFonts w:hint="eastAsia" w:ascii="宋体" w:hAnsi="宋体"/>
          <w:kern w:val="0"/>
          <w:sz w:val="24"/>
          <w:lang w:eastAsia="zh-CN"/>
        </w:rPr>
        <w:t>。</w:t>
      </w:r>
      <w:r>
        <w:rPr>
          <w:rFonts w:hint="eastAsia" w:ascii="宋体" w:hAnsi="宋体"/>
          <w:kern w:val="0"/>
          <w:sz w:val="24"/>
          <w:lang w:val="en-US" w:eastAsia="zh-CN"/>
        </w:rPr>
        <w:t>出库数量按比例进</w:t>
      </w:r>
      <w:bookmarkStart w:id="0" w:name="_GoBack"/>
      <w:bookmarkEnd w:id="0"/>
      <w:r>
        <w:rPr>
          <w:rFonts w:hint="eastAsia" w:ascii="宋体" w:hAnsi="宋体"/>
          <w:kern w:val="0"/>
          <w:sz w:val="24"/>
          <w:lang w:val="en-US" w:eastAsia="zh-CN"/>
        </w:rPr>
        <w:t>行，即前60天的提货数量不得超过中标总额的70%，90天内将粮食全部提货完毕（即至2023年 月  日止）。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w:t>
      </w:r>
      <w:r>
        <w:rPr>
          <w:rFonts w:hint="eastAsia" w:ascii="宋体" w:hAnsi="宋体"/>
          <w:kern w:val="0"/>
          <w:sz w:val="24"/>
          <w:lang w:eastAsia="zh-CN"/>
        </w:rPr>
        <w:t>凭证</w:t>
      </w:r>
      <w:r>
        <w:rPr>
          <w:rFonts w:hint="eastAsia" w:ascii="宋体" w:hAnsi="宋体"/>
          <w:kern w:val="0"/>
          <w:sz w:val="24"/>
        </w:rPr>
        <w:t>。</w:t>
      </w:r>
    </w:p>
    <w:p>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五、验收方式：数量以经技术监督部门检验合格的计量工具验斤为准。</w:t>
      </w:r>
    </w:p>
    <w:p>
      <w:pPr>
        <w:autoSpaceDE w:val="0"/>
        <w:autoSpaceDN w:val="0"/>
        <w:adjustRightInd w:val="0"/>
        <w:spacing w:line="400" w:lineRule="exact"/>
        <w:ind w:firstLine="480" w:firstLineChars="200"/>
        <w:rPr>
          <w:rFonts w:hint="eastAsia" w:ascii="宋体" w:hAnsi="宋体"/>
          <w:kern w:val="0"/>
          <w:sz w:val="24"/>
          <w:lang w:val="en-US" w:eastAsia="zh-CN"/>
        </w:rPr>
      </w:pPr>
      <w:r>
        <w:rPr>
          <w:rFonts w:hint="eastAsia" w:ascii="宋体" w:hAnsi="宋体"/>
          <w:kern w:val="0"/>
          <w:sz w:val="24"/>
        </w:rPr>
        <w:t>六、费用承担：成交价为仓</w:t>
      </w:r>
      <w:r>
        <w:rPr>
          <w:rFonts w:hint="eastAsia" w:ascii="宋体" w:hAnsi="宋体"/>
          <w:kern w:val="0"/>
          <w:sz w:val="24"/>
          <w:lang w:eastAsia="zh-CN"/>
        </w:rPr>
        <w:t>内提货</w:t>
      </w:r>
      <w:r>
        <w:rPr>
          <w:rFonts w:hint="eastAsia" w:ascii="宋体" w:hAnsi="宋体"/>
          <w:kern w:val="0"/>
          <w:sz w:val="24"/>
        </w:rPr>
        <w:t>价</w:t>
      </w:r>
      <w:r>
        <w:rPr>
          <w:rFonts w:hint="eastAsia" w:ascii="宋体" w:hAnsi="宋体"/>
          <w:kern w:val="0"/>
          <w:sz w:val="24"/>
          <w:lang w:eastAsia="zh-CN"/>
        </w:rPr>
        <w:t>。</w:t>
      </w:r>
      <w:r>
        <w:rPr>
          <w:rFonts w:hint="eastAsia" w:ascii="宋体" w:hAnsi="宋体"/>
          <w:kern w:val="0"/>
          <w:sz w:val="24"/>
        </w:rPr>
        <w:t>出仓时由</w:t>
      </w:r>
      <w:r>
        <w:rPr>
          <w:rFonts w:hint="eastAsia" w:ascii="宋体" w:hAnsi="宋体"/>
          <w:kern w:val="0"/>
          <w:sz w:val="24"/>
          <w:lang w:eastAsia="zh-CN"/>
        </w:rPr>
        <w:t>买</w:t>
      </w:r>
      <w:r>
        <w:rPr>
          <w:rFonts w:hint="eastAsia" w:ascii="宋体" w:hAnsi="宋体"/>
          <w:kern w:val="0"/>
          <w:sz w:val="24"/>
        </w:rPr>
        <w:t>方与第三方劳务装卸服务公司签订劳务费用支付合同及作业安全管理协议</w:t>
      </w:r>
      <w:r>
        <w:rPr>
          <w:rFonts w:hint="eastAsia" w:ascii="宋体" w:hAnsi="宋体"/>
          <w:kern w:val="0"/>
          <w:sz w:val="24"/>
          <w:lang w:eastAsia="zh-CN"/>
        </w:rPr>
        <w:t>。买方在提货过程中要负责做好装运的安全生产工作，若发现安全生产事故，由买方承担全部责任。卖方承担交货前的一切费用，交货后的费用由买方承担。卖方向买方收取</w:t>
      </w:r>
      <w:r>
        <w:rPr>
          <w:rFonts w:hint="eastAsia" w:ascii="宋体" w:hAnsi="宋体"/>
          <w:kern w:val="0"/>
          <w:sz w:val="24"/>
          <w:lang w:val="en-US" w:eastAsia="zh-CN"/>
        </w:rPr>
        <w:t>10元/吨的出仓服务费（含仓内外货物整理清扫费用等）。</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hint="eastAsia" w:ascii="宋体" w:hAnsi="宋体"/>
          <w:kern w:val="0"/>
          <w:sz w:val="24"/>
          <w:lang w:val="en-US" w:eastAsia="zh-CN"/>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7"/>
          <w:rFonts w:hint="eastAsia" w:ascii="宋体" w:hAnsi="宋体"/>
          <w:color w:val="242424"/>
          <w:sz w:val="24"/>
          <w:shd w:val="clear" w:color="auto" w:fill="FFFFFF"/>
        </w:rPr>
        <w:t>由于不可抗力原因导致买方逾期提货，买方应在发生之日起</w:t>
      </w:r>
      <w:r>
        <w:rPr>
          <w:rStyle w:val="7"/>
          <w:rFonts w:hint="eastAsia" w:hAnsi="宋体"/>
          <w:color w:val="242424"/>
          <w:sz w:val="24"/>
          <w:shd w:val="clear" w:color="auto" w:fill="FFFFFF"/>
        </w:rPr>
        <w:t>5</w:t>
      </w:r>
      <w:r>
        <w:rPr>
          <w:rStyle w:val="7"/>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w:t>
      </w:r>
      <w:r>
        <w:rPr>
          <w:rFonts w:hint="eastAsia" w:ascii="宋体" w:hAnsi="宋体"/>
          <w:kern w:val="0"/>
          <w:sz w:val="24"/>
          <w:lang w:eastAsia="zh-CN"/>
        </w:rPr>
        <w:t>并按其逾期占用仓格的大小来计收仓库占用费，即仓容在</w:t>
      </w:r>
      <w:r>
        <w:rPr>
          <w:rFonts w:hint="eastAsia" w:ascii="宋体" w:hAnsi="宋体"/>
          <w:kern w:val="0"/>
          <w:sz w:val="24"/>
          <w:lang w:val="en-US" w:eastAsia="zh-CN"/>
        </w:rPr>
        <w:t>1500吨以下的每月收取仓库占用费500元，仓容在1500吨以上的每月收取仓库占用费1000元。</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w:t>
      </w:r>
      <w:r>
        <w:rPr>
          <w:rFonts w:hint="eastAsia" w:ascii="宋体" w:hAnsi="宋体"/>
          <w:kern w:val="0"/>
          <w:sz w:val="24"/>
          <w:lang w:eastAsia="zh-CN"/>
        </w:rPr>
        <w:t>等</w:t>
      </w:r>
      <w:r>
        <w:rPr>
          <w:rFonts w:hint="eastAsia" w:ascii="宋体" w:hAnsi="宋体"/>
          <w:kern w:val="0"/>
          <w:sz w:val="24"/>
        </w:rPr>
        <w:t>必须配合卖方工作相关要求，</w:t>
      </w:r>
      <w:r>
        <w:rPr>
          <w:rFonts w:hint="eastAsia" w:ascii="宋体" w:hAnsi="宋体"/>
          <w:kern w:val="0"/>
          <w:sz w:val="24"/>
          <w:lang w:eastAsia="zh-CN"/>
        </w:rPr>
        <w:t>遵守卖方的仓库管理相关规定，</w:t>
      </w:r>
      <w:r>
        <w:rPr>
          <w:rFonts w:hint="eastAsia" w:ascii="宋体" w:hAnsi="宋体"/>
          <w:kern w:val="0"/>
          <w:sz w:val="24"/>
        </w:rPr>
        <w:t>服从卖方仓库的</w:t>
      </w:r>
      <w:r>
        <w:rPr>
          <w:rFonts w:hint="eastAsia" w:ascii="宋体" w:hAnsi="宋体"/>
          <w:kern w:val="0"/>
          <w:sz w:val="24"/>
          <w:lang w:eastAsia="zh-CN"/>
        </w:rPr>
        <w:t>统一调度指挥</w:t>
      </w:r>
      <w:r>
        <w:rPr>
          <w:rFonts w:hint="eastAsia" w:ascii="宋体" w:hAnsi="宋体"/>
          <w:kern w:val="0"/>
          <w:sz w:val="24"/>
        </w:rPr>
        <w:t>。</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pPr>
        <w:autoSpaceDE w:val="0"/>
        <w:autoSpaceDN w:val="0"/>
        <w:adjustRightInd w:val="0"/>
        <w:spacing w:line="400" w:lineRule="exact"/>
        <w:ind w:firstLine="480" w:firstLineChars="200"/>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w:t>
      </w:r>
      <w:r>
        <w:rPr>
          <w:rFonts w:hint="eastAsia" w:ascii="宋体" w:hAnsi="宋体"/>
          <w:kern w:val="0"/>
          <w:sz w:val="24"/>
          <w:lang w:eastAsia="zh-CN"/>
        </w:rPr>
        <w:t>负责</w:t>
      </w:r>
      <w:r>
        <w:rPr>
          <w:rFonts w:hint="eastAsia" w:ascii="宋体" w:hAnsi="宋体"/>
          <w:kern w:val="0"/>
          <w:sz w:val="24"/>
        </w:rPr>
        <w:t xml:space="preserve">人（签字）：            </w:t>
      </w:r>
      <w:r>
        <w:rPr>
          <w:rFonts w:hint="eastAsia" w:ascii="宋体" w:hAnsi="宋体"/>
          <w:kern w:val="0"/>
          <w:sz w:val="24"/>
          <w:lang w:val="en-US" w:eastAsia="zh-CN"/>
        </w:rPr>
        <w:t xml:space="preserve">       </w:t>
      </w:r>
      <w:r>
        <w:rPr>
          <w:rFonts w:hint="eastAsia" w:ascii="宋体" w:hAnsi="宋体"/>
          <w:kern w:val="0"/>
          <w:sz w:val="24"/>
        </w:rPr>
        <w:t>法人或</w:t>
      </w:r>
      <w:r>
        <w:rPr>
          <w:rFonts w:hint="eastAsia" w:ascii="宋体" w:hAnsi="宋体"/>
          <w:kern w:val="0"/>
          <w:sz w:val="24"/>
          <w:lang w:eastAsia="zh-CN"/>
        </w:rPr>
        <w:t>负责</w:t>
      </w:r>
      <w:r>
        <w:rPr>
          <w:rFonts w:hint="eastAsia" w:ascii="宋体" w:hAnsi="宋体"/>
          <w:kern w:val="0"/>
          <w:sz w:val="24"/>
        </w:rPr>
        <w:t>人（签字）：</w:t>
      </w: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autoSpaceDE w:val="0"/>
        <w:autoSpaceDN w:val="0"/>
        <w:adjustRightInd w:val="0"/>
        <w:spacing w:line="400" w:lineRule="exact"/>
        <w:rPr>
          <w:rFonts w:ascii="宋体" w:hAnsi="宋体"/>
          <w:kern w:val="0"/>
          <w:sz w:val="24"/>
        </w:rPr>
      </w:pPr>
      <w:r>
        <w:rPr>
          <w:rFonts w:hint="eastAsia" w:ascii="宋体" w:hAnsi="宋体"/>
          <w:kern w:val="0"/>
          <w:sz w:val="24"/>
        </w:rPr>
        <w:t>收款单位：</w:t>
      </w:r>
      <w:r>
        <w:rPr>
          <w:rFonts w:hint="eastAsia" w:ascii="宋体" w:hAnsi="宋体"/>
          <w:kern w:val="0"/>
          <w:sz w:val="24"/>
          <w:lang w:eastAsia="zh-CN"/>
        </w:rPr>
        <w:t>兴宁市齐昌粮油储备管理</w:t>
      </w:r>
      <w:r>
        <w:rPr>
          <w:rFonts w:hint="eastAsia" w:ascii="宋体" w:hAnsi="宋体"/>
          <w:kern w:val="0"/>
          <w:sz w:val="24"/>
        </w:rPr>
        <w:t xml:space="preserve">有限公司 </w:t>
      </w:r>
    </w:p>
    <w:p>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w:t>
      </w:r>
      <w:r>
        <w:rPr>
          <w:rFonts w:hint="eastAsia" w:ascii="宋体" w:hAnsi="宋体"/>
          <w:kern w:val="0"/>
          <w:sz w:val="24"/>
          <w:lang w:eastAsia="zh-CN"/>
        </w:rPr>
        <w:t>兴宁</w:t>
      </w:r>
      <w:r>
        <w:rPr>
          <w:rFonts w:hint="eastAsia" w:ascii="宋体" w:hAnsi="宋体"/>
          <w:kern w:val="0"/>
          <w:sz w:val="24"/>
        </w:rPr>
        <w:t>市</w:t>
      </w:r>
      <w:r>
        <w:rPr>
          <w:rFonts w:hint="eastAsia" w:ascii="宋体" w:hAnsi="宋体"/>
          <w:kern w:val="0"/>
          <w:sz w:val="24"/>
          <w:lang w:eastAsia="zh-CN"/>
        </w:rPr>
        <w:t>支</w:t>
      </w:r>
      <w:r>
        <w:rPr>
          <w:rFonts w:hint="eastAsia" w:ascii="宋体" w:hAnsi="宋体"/>
          <w:kern w:val="0"/>
          <w:sz w:val="24"/>
        </w:rPr>
        <w:t>行</w:t>
      </w:r>
    </w:p>
    <w:p>
      <w:pPr>
        <w:autoSpaceDE w:val="0"/>
        <w:autoSpaceDN w:val="0"/>
        <w:adjustRightInd w:val="0"/>
        <w:spacing w:line="400" w:lineRule="exact"/>
        <w:rPr>
          <w:rFonts w:ascii="宋体" w:hAnsi="宋体"/>
          <w:kern w:val="0"/>
          <w:sz w:val="24"/>
        </w:rPr>
      </w:pPr>
      <w:r>
        <w:rPr>
          <w:rFonts w:hint="eastAsia" w:ascii="宋体" w:hAnsi="宋体"/>
          <w:kern w:val="0"/>
          <w:sz w:val="24"/>
        </w:rPr>
        <w:t>帐号：2034 414</w:t>
      </w:r>
      <w:r>
        <w:rPr>
          <w:rFonts w:hint="eastAsia" w:ascii="宋体" w:hAnsi="宋体"/>
          <w:kern w:val="0"/>
          <w:sz w:val="24"/>
          <w:lang w:val="en-US" w:eastAsia="zh-CN"/>
        </w:rPr>
        <w:t>8</w:t>
      </w:r>
      <w:r>
        <w:rPr>
          <w:rFonts w:hint="eastAsia" w:ascii="宋体" w:hAnsi="宋体"/>
          <w:kern w:val="0"/>
          <w:sz w:val="24"/>
        </w:rPr>
        <w:t xml:space="preserve"> </w:t>
      </w:r>
      <w:r>
        <w:rPr>
          <w:rFonts w:hint="eastAsia" w:ascii="宋体" w:hAnsi="宋体"/>
          <w:kern w:val="0"/>
          <w:sz w:val="24"/>
          <w:lang w:val="en-US" w:eastAsia="zh-CN"/>
        </w:rPr>
        <w:t>1001</w:t>
      </w:r>
      <w:r>
        <w:rPr>
          <w:rFonts w:hint="eastAsia" w:ascii="宋体" w:hAnsi="宋体"/>
          <w:kern w:val="0"/>
          <w:sz w:val="24"/>
        </w:rPr>
        <w:t xml:space="preserve"> 0000 000</w:t>
      </w:r>
      <w:r>
        <w:rPr>
          <w:rFonts w:hint="eastAsia" w:ascii="宋体" w:hAnsi="宋体"/>
          <w:kern w:val="0"/>
          <w:sz w:val="24"/>
          <w:lang w:val="en-US" w:eastAsia="zh-CN"/>
        </w:rPr>
        <w:t>1</w:t>
      </w:r>
      <w:r>
        <w:rPr>
          <w:rFonts w:hint="eastAsia" w:ascii="宋体" w:hAnsi="宋体"/>
          <w:kern w:val="0"/>
          <w:sz w:val="24"/>
        </w:rPr>
        <w:t xml:space="preserve"> </w:t>
      </w:r>
      <w:r>
        <w:rPr>
          <w:rFonts w:hint="eastAsia" w:ascii="宋体" w:hAnsi="宋体"/>
          <w:kern w:val="0"/>
          <w:sz w:val="24"/>
          <w:lang w:val="en-US" w:eastAsia="zh-CN"/>
        </w:rPr>
        <w:t>6</w:t>
      </w:r>
      <w:r>
        <w:rPr>
          <w:rFonts w:hint="eastAsia" w:ascii="宋体" w:hAnsi="宋体"/>
          <w:kern w:val="0"/>
          <w:sz w:val="24"/>
        </w:rPr>
        <w:t>91</w:t>
      </w:r>
    </w:p>
    <w:p>
      <w:pPr>
        <w:autoSpaceDE w:val="0"/>
        <w:autoSpaceDN w:val="0"/>
        <w:adjustRightInd w:val="0"/>
        <w:spacing w:line="400" w:lineRule="exact"/>
        <w:rPr>
          <w:rFonts w:hint="eastAsia" w:ascii="宋体" w:hAnsi="宋体"/>
          <w:kern w:val="0"/>
          <w:sz w:val="24"/>
        </w:rPr>
      </w:pPr>
      <w:r>
        <w:rPr>
          <w:rFonts w:hint="eastAsia" w:ascii="宋体" w:hAnsi="宋体"/>
          <w:kern w:val="0"/>
          <w:sz w:val="24"/>
        </w:rPr>
        <w:t>电话：0753-</w:t>
      </w:r>
      <w:r>
        <w:rPr>
          <w:rFonts w:hint="eastAsia" w:ascii="宋体" w:hAnsi="宋体"/>
          <w:kern w:val="0"/>
          <w:sz w:val="24"/>
          <w:lang w:val="en-US" w:eastAsia="zh-CN"/>
        </w:rPr>
        <w:t>3311926</w:t>
      </w:r>
      <w:r>
        <w:rPr>
          <w:rFonts w:hint="eastAsia" w:ascii="宋体" w:hAnsi="宋体"/>
          <w:kern w:val="0"/>
          <w:sz w:val="24"/>
        </w:rPr>
        <w:t xml:space="preserve">  </w:t>
      </w:r>
    </w:p>
    <w:p>
      <w:pPr>
        <w:autoSpaceDE w:val="0"/>
        <w:autoSpaceDN w:val="0"/>
        <w:adjustRightInd w:val="0"/>
        <w:spacing w:line="400" w:lineRule="exact"/>
        <w:rPr>
          <w:rFonts w:ascii="宋体" w:hAnsi="宋体"/>
          <w:kern w:val="0"/>
          <w:sz w:val="24"/>
        </w:rPr>
      </w:pPr>
      <w:r>
        <w:rPr>
          <w:rFonts w:hint="eastAsia" w:ascii="宋体" w:hAnsi="宋体"/>
          <w:kern w:val="0"/>
          <w:sz w:val="24"/>
        </w:rPr>
        <w:t>传真：0753-</w:t>
      </w:r>
      <w:r>
        <w:rPr>
          <w:rFonts w:hint="eastAsia" w:ascii="宋体" w:hAnsi="宋体"/>
          <w:kern w:val="0"/>
          <w:sz w:val="24"/>
          <w:lang w:val="en-US" w:eastAsia="zh-CN"/>
        </w:rPr>
        <w:t>3311926</w:t>
      </w:r>
      <w:r>
        <w:rPr>
          <w:rFonts w:hint="eastAsia" w:ascii="宋体" w:hAnsi="宋体"/>
          <w:kern w:val="0"/>
          <w:sz w:val="24"/>
        </w:rPr>
        <w:t xml:space="preserve">  </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00" w:lineRule="exact"/>
        <w:jc w:val="right"/>
        <w:rPr>
          <w:rFonts w:ascii="宋体" w:hAnsi="宋体"/>
          <w:sz w:val="24"/>
        </w:rPr>
      </w:pPr>
      <w:r>
        <w:rPr>
          <w:rFonts w:hint="eastAsia" w:ascii="宋体" w:hAnsi="宋体"/>
          <w:sz w:val="24"/>
        </w:rPr>
        <w:t>202</w:t>
      </w:r>
      <w:r>
        <w:rPr>
          <w:rFonts w:hint="eastAsia" w:ascii="宋体" w:hAnsi="宋体"/>
          <w:sz w:val="24"/>
          <w:lang w:val="en-US" w:eastAsia="zh-CN"/>
        </w:rPr>
        <w:t>3</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2</w:t>
    </w:r>
    <w:r>
      <w:rPr>
        <w:lang w:val="zh-CN"/>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795402DF"/>
    <w:rsid w:val="39CE049F"/>
    <w:rsid w:val="3EED627B"/>
    <w:rsid w:val="6F462EB0"/>
    <w:rsid w:val="79540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index 1"/>
    <w:basedOn w:val="1"/>
    <w:next w:val="1"/>
    <w:semiHidden/>
    <w:qFormat/>
    <w:uiPriority w:val="0"/>
  </w:style>
  <w:style w:type="character" w:customStyle="1" w:styleId="7">
    <w:name w:val="ng-binding"/>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2023-05-30T02:28:00Z</dcterms:created>
  <dc:creator>浪漫一生</dc:creator>
  <cp:lastModifiedBy>晨怡</cp:lastModifiedBy>
  <cp:lastPrinted>2023-05-30T03:21:00Z</cp:lastPrinted>
  <dcterms:modified xsi:type="dcterms:W3CDTF">2023-05-30T08:42:11Z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FDC3BEB3D3B9408FAB71636BDBE786C4_11</vt:lpwstr>
  </property>
</Properties>
</file>